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隶书" w:hAnsi="宋体" w:eastAsia="隶书"/>
          <w:bCs/>
          <w:color w:val="000000"/>
          <w:sz w:val="36"/>
          <w:szCs w:val="36"/>
        </w:rPr>
      </w:pPr>
      <w:r>
        <w:rPr>
          <w:rFonts w:hint="eastAsia" w:ascii="隶书" w:hAnsi="宋体" w:eastAsia="隶书"/>
          <w:bCs/>
          <w:color w:val="000000"/>
          <w:sz w:val="36"/>
          <w:szCs w:val="36"/>
        </w:rPr>
        <w:t>管理体系审核记录表</w:t>
      </w:r>
    </w:p>
    <w:tbl>
      <w:tblPr>
        <w:tblStyle w:val="6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960"/>
        <w:gridCol w:w="10004"/>
        <w:gridCol w:w="1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160" w:type="dxa"/>
            <w:vMerge w:val="restart"/>
            <w:vAlign w:val="center"/>
          </w:tcPr>
          <w:p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过程与活动、</w:t>
            </w: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抽样计划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涉及</w:t>
            </w:r>
          </w:p>
          <w:p>
            <w:r>
              <w:rPr>
                <w:rFonts w:hint="eastAsia"/>
                <w:sz w:val="24"/>
                <w:szCs w:val="24"/>
              </w:rPr>
              <w:t>条款</w:t>
            </w:r>
          </w:p>
        </w:tc>
        <w:tc>
          <w:tcPr>
            <w:tcW w:w="10004" w:type="dxa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受审核部门：</w:t>
            </w:r>
            <w:r>
              <w:rPr>
                <w:rFonts w:hint="eastAsia"/>
                <w:sz w:val="24"/>
                <w:szCs w:val="24"/>
                <w:lang w:eastAsia="zh-CN"/>
              </w:rPr>
              <w:t>管理层、行政部、生产部、技术部、营销部、财务部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主管领导/陪同人员</w:t>
            </w:r>
          </w:p>
        </w:tc>
        <w:tc>
          <w:tcPr>
            <w:tcW w:w="1585" w:type="dxa"/>
            <w:vMerge w:val="restart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160" w:type="dxa"/>
            <w:vMerge w:val="continue"/>
            <w:vAlign w:val="center"/>
          </w:tcPr>
          <w:p/>
        </w:tc>
        <w:tc>
          <w:tcPr>
            <w:tcW w:w="960" w:type="dxa"/>
            <w:vMerge w:val="continue"/>
            <w:vAlign w:val="center"/>
          </w:tcPr>
          <w:p/>
        </w:tc>
        <w:tc>
          <w:tcPr>
            <w:tcW w:w="10004" w:type="dxa"/>
            <w:vAlign w:val="center"/>
          </w:tcPr>
          <w:p>
            <w:pPr>
              <w:spacing w:before="12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审核员：</w:t>
            </w:r>
            <w:r>
              <w:rPr>
                <w:rFonts w:hint="eastAsia"/>
                <w:sz w:val="24"/>
                <w:szCs w:val="24"/>
                <w:lang w:eastAsia="zh-CN"/>
              </w:rPr>
              <w:t>李俐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、强兴   </w:t>
            </w:r>
            <w:bookmarkStart w:id="2" w:name="_GoBack"/>
            <w:bookmarkEnd w:id="2"/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hint="eastAsia"/>
                <w:sz w:val="24"/>
                <w:szCs w:val="24"/>
              </w:rPr>
              <w:t>审核时间：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2020.7.9-2020.7.10</w:t>
            </w:r>
          </w:p>
        </w:tc>
        <w:tc>
          <w:tcPr>
            <w:tcW w:w="1585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Merge w:val="continue"/>
            <w:vAlign w:val="center"/>
          </w:tcPr>
          <w:p/>
        </w:tc>
        <w:tc>
          <w:tcPr>
            <w:tcW w:w="960" w:type="dxa"/>
            <w:vMerge w:val="continue"/>
            <w:vAlign w:val="center"/>
          </w:tcPr>
          <w:p/>
        </w:tc>
        <w:tc>
          <w:tcPr>
            <w:tcW w:w="10004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审核条款：</w:t>
            </w:r>
          </w:p>
        </w:tc>
        <w:tc>
          <w:tcPr>
            <w:tcW w:w="1585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160" w:type="dxa"/>
          </w:tcPr>
          <w:p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企业名称</w:t>
            </w:r>
          </w:p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确认地址（包括注册地址、生产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经营地址）、多场所地址等</w:t>
            </w:r>
          </w:p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营业执照、组织机构代码证、相关资质的有效性确认</w:t>
            </w:r>
          </w:p>
          <w:p/>
        </w:tc>
        <w:tc>
          <w:tcPr>
            <w:tcW w:w="960" w:type="dxa"/>
          </w:tcPr>
          <w:p/>
        </w:tc>
        <w:tc>
          <w:tcPr>
            <w:tcW w:w="10004" w:type="dxa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公司名称：</w:t>
            </w:r>
            <w:r>
              <w:rPr>
                <w:rFonts w:hint="eastAsia" w:ascii="宋体" w:hAnsi="宋体"/>
                <w:szCs w:val="21"/>
                <w:lang w:eastAsia="zh-CN"/>
              </w:rPr>
              <w:t>重庆泓美仪表</w:t>
            </w:r>
            <w:r>
              <w:rPr>
                <w:rFonts w:hint="eastAsia" w:ascii="宋体" w:hAnsi="宋体"/>
                <w:szCs w:val="21"/>
              </w:rPr>
              <w:t>有限</w:t>
            </w:r>
            <w:r>
              <w:rPr>
                <w:rFonts w:hint="eastAsia" w:ascii="宋体" w:hAnsi="宋体"/>
                <w:szCs w:val="21"/>
                <w:lang w:eastAsia="zh-CN"/>
              </w:rPr>
              <w:t>责任</w:t>
            </w:r>
            <w:r>
              <w:rPr>
                <w:rFonts w:hint="eastAsia" w:ascii="宋体" w:hAnsi="宋体"/>
                <w:szCs w:val="21"/>
              </w:rPr>
              <w:t>公司，</w:t>
            </w:r>
            <w:r>
              <w:rPr>
                <w:rFonts w:hint="eastAsia" w:ascii="宋体" w:hAnsi="宋体" w:cs="宋体"/>
                <w:szCs w:val="21"/>
              </w:rPr>
              <w:t>公司20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szCs w:val="21"/>
              </w:rPr>
              <w:t>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09</w:t>
            </w:r>
            <w:r>
              <w:rPr>
                <w:rFonts w:hint="eastAsia" w:ascii="宋体" w:hAnsi="宋体" w:cs="宋体"/>
                <w:szCs w:val="21"/>
              </w:rPr>
              <w:t>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26</w:t>
            </w:r>
            <w:r>
              <w:rPr>
                <w:rFonts w:hint="eastAsia" w:ascii="宋体" w:hAnsi="宋体" w:cs="宋体"/>
                <w:szCs w:val="21"/>
              </w:rPr>
              <w:t>日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成立</w:t>
            </w:r>
            <w:r>
              <w:rPr>
                <w:rFonts w:hint="eastAsia" w:ascii="宋体" w:hAnsi="宋体" w:cs="宋体"/>
                <w:szCs w:val="21"/>
              </w:rPr>
              <w:t>，有效期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长期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法人代表：</w:t>
            </w:r>
            <w:r>
              <w:rPr>
                <w:rFonts w:hint="eastAsia" w:ascii="宋体" w:hAnsi="宋体"/>
                <w:szCs w:val="21"/>
                <w:lang w:eastAsia="zh-CN"/>
              </w:rPr>
              <w:t>李向阳</w:t>
            </w: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注册地址：</w:t>
            </w:r>
            <w:bookmarkStart w:id="0" w:name="注册地址"/>
            <w:r>
              <w:t>重庆市合川区南津街道岩渠路68号</w:t>
            </w:r>
            <w:bookmarkEnd w:id="0"/>
          </w:p>
          <w:p>
            <w:pPr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经营地址：</w:t>
            </w:r>
            <w:r>
              <w:t>重庆市合川区南津街道岩渠路68号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  <w:lang w:val="de-DE"/>
              </w:rPr>
              <w:t>经营范围：生产、销售仪器仪表及零部件；模具及相关产品设计与生产；机械设备设计与制造（国家法律、法规另有规定的除外）；从事计算机科技领域内的技术开发、技术咨询、技术转让、技术服务。（依法须经批准的项目，经相关部门批准后方可开展经营活动）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营业执照符合要求，见附件。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300</w:t>
            </w:r>
            <w:r>
              <w:rPr>
                <w:rFonts w:hint="eastAsia" w:ascii="宋体" w:hAnsi="宋体"/>
                <w:szCs w:val="21"/>
              </w:rPr>
              <w:t>0万元。</w:t>
            </w:r>
          </w:p>
          <w:p/>
        </w:tc>
        <w:tc>
          <w:tcPr>
            <w:tcW w:w="158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3" w:hRule="atLeast"/>
        </w:trPr>
        <w:tc>
          <w:tcPr>
            <w:tcW w:w="2160" w:type="dxa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管理体系运行起始日</w:t>
            </w:r>
          </w:p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确认组织实际与管理体系文件描述的一致性</w:t>
            </w:r>
            <w:r>
              <w:rPr>
                <w:rFonts w:hint="eastAsia"/>
                <w:szCs w:val="21"/>
                <w:lang w:eastAsia="zh-CN"/>
              </w:rPr>
              <w:t>；</w:t>
            </w:r>
            <w:r>
              <w:rPr>
                <w:rFonts w:hint="eastAsia"/>
                <w:szCs w:val="21"/>
              </w:rPr>
              <w:t>组织机构（如部门设置和负责人，服务过程）</w:t>
            </w:r>
          </w:p>
          <w:p>
            <w:pPr>
              <w:spacing w:line="400" w:lineRule="exact"/>
              <w:rPr>
                <w:rFonts w:hint="eastAsia" w:eastAsia="宋体"/>
                <w:color w:val="FF0000"/>
                <w:szCs w:val="21"/>
                <w:lang w:eastAsia="zh-CN"/>
              </w:rPr>
            </w:pPr>
          </w:p>
          <w:p/>
        </w:tc>
        <w:tc>
          <w:tcPr>
            <w:tcW w:w="960" w:type="dxa"/>
          </w:tcPr>
          <w:p/>
        </w:tc>
        <w:tc>
          <w:tcPr>
            <w:tcW w:w="10004" w:type="dxa"/>
          </w:tcPr>
          <w:p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职业健康安全管理体系于 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年 1月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日建立并正式实施。</w:t>
            </w:r>
          </w:p>
          <w:p>
            <w:p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职业健康安全事务代表</w:t>
            </w:r>
            <w:r>
              <w:rPr>
                <w:rFonts w:hint="eastAsia"/>
                <w:lang w:eastAsia="zh-CN"/>
              </w:rPr>
              <w:t>： 胡明飞</w:t>
            </w:r>
          </w:p>
          <w:p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组织机构：</w:t>
            </w:r>
            <w:r>
              <w:rPr>
                <w:rFonts w:hint="eastAsia"/>
                <w:lang w:val="en-US" w:eastAsia="zh-CN"/>
              </w:rPr>
              <w:t>行政部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技术部、生产部、营销部</w:t>
            </w:r>
            <w:r>
              <w:rPr>
                <w:rFonts w:hint="eastAsia"/>
              </w:rPr>
              <w:t>。</w:t>
            </w:r>
          </w:p>
          <w:p>
            <w:pPr>
              <w:spacing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组织</w:t>
            </w:r>
            <w:r>
              <w:rPr>
                <w:rFonts w:hint="eastAsia"/>
                <w:lang w:val="en-US" w:eastAsia="zh-CN"/>
              </w:rPr>
              <w:t>机构</w:t>
            </w:r>
            <w:r>
              <w:rPr>
                <w:rFonts w:hint="eastAsia"/>
              </w:rPr>
              <w:t>实际与管理体系文件描述的一致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widowControl/>
              <w:spacing w:line="360" w:lineRule="auto"/>
              <w:jc w:val="left"/>
              <w:rPr>
                <w:rFonts w:hint="eastAsia"/>
                <w:lang w:eastAsia="zh-CN"/>
              </w:rPr>
            </w:pPr>
            <w:bookmarkStart w:id="1" w:name="审核范围"/>
            <w:r>
              <w:rPr>
                <w:rFonts w:hint="eastAsia"/>
              </w:rPr>
              <w:t>现场确认范围</w:t>
            </w:r>
            <w:r>
              <w:rPr>
                <w:rFonts w:hint="eastAsia"/>
                <w:lang w:eastAsia="zh-CN"/>
              </w:rPr>
              <w:t>：</w:t>
            </w:r>
          </w:p>
          <w:p>
            <w:pPr>
              <w:spacing w:line="360" w:lineRule="auto"/>
            </w:pPr>
            <w:r>
              <w:t>E：水表 、水表配件的生产及销售（限许可范围内）及相关环境管理活动</w:t>
            </w:r>
            <w:bookmarkEnd w:id="1"/>
          </w:p>
          <w:p>
            <w:p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原材料（含外包主板加工）—锡焊天线、电容—安装电池及底座—安装上翻盖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—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安装电子装置—功能检测—密封上盖——成品检查—上防拆帽、打铅封、贴合格证—入库。</w:t>
            </w:r>
          </w:p>
          <w:p>
            <w:pPr>
              <w:spacing w:line="360" w:lineRule="auto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特殊过程：锡焊天线、电容</w:t>
            </w:r>
          </w:p>
          <w:p>
            <w:pPr>
              <w:spacing w:line="360" w:lineRule="auto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关键过程：功能检测</w:t>
            </w:r>
          </w:p>
          <w:p>
            <w:pPr>
              <w:spacing w:line="360" w:lineRule="auto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外包过程：主板加工过程</w:t>
            </w:r>
          </w:p>
          <w:p>
            <w:pPr>
              <w:spacing w:line="360" w:lineRule="auto"/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功能检测系统：水务生产管理系统</w:t>
            </w:r>
          </w:p>
        </w:tc>
        <w:tc>
          <w:tcPr>
            <w:tcW w:w="158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2160" w:type="dxa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方针、目标、指标和方案情况</w:t>
            </w:r>
          </w:p>
          <w:p/>
        </w:tc>
        <w:tc>
          <w:tcPr>
            <w:tcW w:w="960" w:type="dxa"/>
          </w:tcPr>
          <w:p/>
        </w:tc>
        <w:tc>
          <w:tcPr>
            <w:tcW w:w="10004" w:type="dxa"/>
          </w:tcPr>
          <w:p>
            <w:pPr>
              <w:spacing w:line="360" w:lineRule="auto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公司的质量、环境和职业健康安全的方针：</w:t>
            </w:r>
          </w:p>
          <w:p>
            <w:p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质量第一、降本增效、精益求精、遵纪守法、</w:t>
            </w:r>
          </w:p>
          <w:p>
            <w:pPr>
              <w:spacing w:line="360" w:lineRule="auto"/>
              <w:rPr>
                <w:rFonts w:hint="eastAsia" w:eastAsiaTheme="minorEastAsia"/>
                <w:color w:val="000000"/>
                <w:szCs w:val="21"/>
              </w:rPr>
            </w:pPr>
            <w:r>
              <w:rPr>
                <w:rFonts w:hint="eastAsia"/>
                <w:lang w:eastAsia="zh-CN"/>
              </w:rPr>
              <w:t>爱护环境、节能减耗、杜绝事故、消除隐患、持续改善。</w:t>
            </w:r>
          </w:p>
          <w:p>
            <w:pPr>
              <w:spacing w:line="360" w:lineRule="auto"/>
              <w:rPr>
                <w:rFonts w:hint="eastAsia" w:eastAsiaTheme="minorEastAsia"/>
                <w:color w:val="000000"/>
                <w:szCs w:val="21"/>
              </w:rPr>
            </w:pPr>
            <w:r>
              <w:rPr>
                <w:rFonts w:hint="eastAsia" w:eastAsiaTheme="minorEastAsia"/>
                <w:color w:val="000000"/>
                <w:szCs w:val="21"/>
              </w:rPr>
              <w:t>职业健康安全目标：1）、</w:t>
            </w:r>
            <w:r>
              <w:rPr>
                <w:rFonts w:hint="eastAsia" w:eastAsiaTheme="minorEastAsia"/>
                <w:color w:val="000000"/>
                <w:szCs w:val="21"/>
                <w:lang w:val="en-US" w:eastAsia="zh-CN"/>
              </w:rPr>
              <w:t>死亡</w:t>
            </w:r>
            <w:r>
              <w:rPr>
                <w:rFonts w:hint="eastAsia" w:eastAsiaTheme="minorEastAsia"/>
                <w:color w:val="000000"/>
                <w:szCs w:val="21"/>
              </w:rPr>
              <w:t>事故为0</w:t>
            </w:r>
            <w:r>
              <w:rPr>
                <w:rFonts w:hint="eastAsia" w:eastAsiaTheme="minorEastAsia"/>
                <w:color w:val="000000"/>
                <w:szCs w:val="21"/>
                <w:lang w:eastAsia="zh-CN"/>
              </w:rPr>
              <w:t>；</w:t>
            </w:r>
          </w:p>
          <w:p>
            <w:pPr>
              <w:spacing w:line="360" w:lineRule="auto"/>
              <w:ind w:firstLine="1890" w:firstLineChars="900"/>
              <w:rPr>
                <w:rFonts w:hint="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szCs w:val="21"/>
              </w:rPr>
              <w:t>2）、</w:t>
            </w:r>
            <w:r>
              <w:rPr>
                <w:rFonts w:hint="eastAsia" w:eastAsiaTheme="minorEastAsia"/>
                <w:color w:val="000000"/>
                <w:szCs w:val="21"/>
                <w:lang w:val="en-US" w:eastAsia="zh-CN"/>
              </w:rPr>
              <w:t>重伤事故为0；</w:t>
            </w:r>
          </w:p>
          <w:p>
            <w:pPr>
              <w:spacing w:line="360" w:lineRule="auto"/>
              <w:ind w:firstLine="1890" w:firstLineChars="900"/>
              <w:rPr>
                <w:rFonts w:hint="eastAsia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szCs w:val="21"/>
                <w:lang w:val="en-US" w:eastAsia="zh-CN"/>
              </w:rPr>
              <w:t>3）、轻伤事故每季度少于3次</w:t>
            </w:r>
          </w:p>
        </w:tc>
        <w:tc>
          <w:tcPr>
            <w:tcW w:w="158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2160" w:type="dxa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重要环境因素（</w:t>
            </w:r>
            <w:r>
              <w:rPr>
                <w:rFonts w:hint="eastAsia"/>
                <w:szCs w:val="21"/>
                <w:lang w:val="en-US" w:eastAsia="zh-CN"/>
              </w:rPr>
              <w:t>OH</w:t>
            </w:r>
            <w:r>
              <w:rPr>
                <w:szCs w:val="21"/>
              </w:rPr>
              <w:t>S</w:t>
            </w:r>
            <w:r>
              <w:rPr>
                <w:rFonts w:hint="eastAsia"/>
                <w:szCs w:val="21"/>
              </w:rPr>
              <w:t>）</w:t>
            </w:r>
          </w:p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不可接受危险源</w:t>
            </w:r>
          </w:p>
          <w:p/>
        </w:tc>
        <w:tc>
          <w:tcPr>
            <w:tcW w:w="960" w:type="dxa"/>
          </w:tcPr>
          <w:p/>
        </w:tc>
        <w:tc>
          <w:tcPr>
            <w:tcW w:w="10004" w:type="dxa"/>
          </w:tcPr>
          <w:p>
            <w:pPr>
              <w:spacing w:line="360" w:lineRule="auto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潜在火灾、固废排放等。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提供了“不可接受风险清单”，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潜在火灾、触电等。</w:t>
            </w:r>
          </w:p>
          <w:p>
            <w:pPr>
              <w:spacing w:line="360" w:lineRule="auto"/>
              <w:jc w:val="left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以上识别充分。</w:t>
            </w:r>
          </w:p>
        </w:tc>
        <w:tc>
          <w:tcPr>
            <w:tcW w:w="158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2160" w:type="dxa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内审情况</w:t>
            </w:r>
          </w:p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管理评审</w:t>
            </w:r>
          </w:p>
          <w:p/>
        </w:tc>
        <w:tc>
          <w:tcPr>
            <w:tcW w:w="960" w:type="dxa"/>
          </w:tcPr>
          <w:p/>
        </w:tc>
        <w:tc>
          <w:tcPr>
            <w:tcW w:w="10004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公司于</w:t>
            </w: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  <w:lang w:val="en-US" w:eastAsia="zh-CN"/>
              </w:rPr>
              <w:t>20年3月25日</w:t>
            </w:r>
            <w:r>
              <w:rPr>
                <w:rFonts w:hint="eastAsia"/>
                <w:szCs w:val="21"/>
              </w:rPr>
              <w:t>进行一次内审，提供了内审计划、内审记录、不符合报告、内审报告等，具体内容，二阶段进一步审核。</w:t>
            </w:r>
          </w:p>
          <w:p>
            <w:pPr>
              <w:spacing w:line="360" w:lineRule="auto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2020年4月10日</w:t>
            </w:r>
            <w:r>
              <w:rPr>
                <w:rFonts w:hint="eastAsia"/>
                <w:szCs w:val="21"/>
              </w:rPr>
              <w:t>召开了管理评审会议，由总经理主持。提供管理评审报告，具体内容，二阶段进一步审核。</w:t>
            </w:r>
          </w:p>
        </w:tc>
        <w:tc>
          <w:tcPr>
            <w:tcW w:w="158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2160" w:type="dxa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特种设备</w:t>
            </w:r>
          </w:p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环保、安全设施（</w:t>
            </w:r>
            <w:r>
              <w:rPr>
                <w:szCs w:val="21"/>
              </w:rPr>
              <w:t>EMS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OHS</w:t>
            </w:r>
            <w:r>
              <w:rPr>
                <w:rFonts w:hint="eastAsia"/>
                <w:szCs w:val="21"/>
              </w:rPr>
              <w:t>）</w:t>
            </w:r>
          </w:p>
          <w:p>
            <w:r>
              <w:rPr>
                <w:rFonts w:hint="eastAsia"/>
                <w:szCs w:val="21"/>
              </w:rPr>
              <w:t>环保</w:t>
            </w:r>
            <w:r>
              <w:rPr>
                <w:szCs w:val="21"/>
              </w:rPr>
              <w:t>\</w:t>
            </w:r>
            <w:r>
              <w:rPr>
                <w:rFonts w:hint="eastAsia"/>
                <w:szCs w:val="21"/>
              </w:rPr>
              <w:t>安全监测设备</w:t>
            </w:r>
          </w:p>
        </w:tc>
        <w:tc>
          <w:tcPr>
            <w:tcW w:w="960" w:type="dxa"/>
          </w:tcPr>
          <w:p/>
        </w:tc>
        <w:tc>
          <w:tcPr>
            <w:tcW w:w="10004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无特种设备。</w:t>
            </w:r>
          </w:p>
          <w:p>
            <w:pPr>
              <w:spacing w:line="360" w:lineRule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无环保、安全设施</w:t>
            </w:r>
            <w:r>
              <w:rPr>
                <w:rFonts w:hint="eastAsia"/>
                <w:szCs w:val="21"/>
                <w:lang w:eastAsia="zh-CN"/>
              </w:rPr>
              <w:t>、环境监测设备。</w:t>
            </w:r>
          </w:p>
          <w:p>
            <w:pPr>
              <w:spacing w:line="400" w:lineRule="exact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</w:p>
        </w:tc>
        <w:tc>
          <w:tcPr>
            <w:tcW w:w="158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160" w:type="dxa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EMS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OHS</w:t>
            </w:r>
            <w:r>
              <w:rPr>
                <w:rFonts w:hint="eastAsia"/>
                <w:szCs w:val="21"/>
              </w:rPr>
              <w:t>）现场</w:t>
            </w:r>
          </w:p>
          <w:p>
            <w:pPr>
              <w:rPr>
                <w:rFonts w:hint="eastAsia"/>
                <w:szCs w:val="21"/>
              </w:rPr>
            </w:pPr>
          </w:p>
        </w:tc>
        <w:tc>
          <w:tcPr>
            <w:tcW w:w="960" w:type="dxa"/>
          </w:tcPr>
          <w:p/>
        </w:tc>
        <w:tc>
          <w:tcPr>
            <w:tcW w:w="10004" w:type="dxa"/>
          </w:tcPr>
          <w:p>
            <w:pPr>
              <w:widowControl/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具备二阶段审核的条件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</w:tc>
        <w:tc>
          <w:tcPr>
            <w:tcW w:w="1585" w:type="dxa"/>
          </w:tcPr>
          <w:p/>
        </w:tc>
      </w:tr>
    </w:tbl>
    <w:p>
      <w:r>
        <w:ptab w:relativeTo="margin" w:alignment="center" w:leader="none"/>
      </w:r>
    </w:p>
    <w:p>
      <w:pPr>
        <w:pStyle w:val="4"/>
      </w:pPr>
      <w:r>
        <w:rPr>
          <w:rFonts w:hint="eastAsia"/>
        </w:rPr>
        <w:t>说明：不符合标注N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4900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11"/>
        <w:rFonts w:hint="default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11"/>
        <w:rFonts w:hint="default"/>
      </w:rPr>
      <w:t>北京国标联合认证有限公司</w:t>
    </w:r>
    <w:r>
      <w:rPr>
        <w:rStyle w:val="11"/>
        <w:rFonts w:hint="default"/>
      </w:rPr>
      <w:tab/>
    </w:r>
    <w:r>
      <w:rPr>
        <w:rStyle w:val="11"/>
        <w:rFonts w:hint="default"/>
      </w:rPr>
      <w:tab/>
    </w:r>
    <w:r>
      <w:rPr>
        <w:rStyle w:val="11"/>
        <w:rFonts w:hint="default"/>
      </w:rPr>
      <w:tab/>
    </w:r>
  </w:p>
  <w:p>
    <w:pPr>
      <w:pStyle w:val="5"/>
      <w:pBdr>
        <w:bottom w:val="none" w:color="auto" w:sz="0" w:space="0"/>
      </w:pBdr>
      <w:spacing w:line="320" w:lineRule="exact"/>
      <w:ind w:firstLine="720" w:firstLineChars="400"/>
      <w:jc w:val="left"/>
    </w:pPr>
    <w:r>
      <w:pict>
        <v:shape id="_x0000_s4097" o:spid="_x0000_s4097" o:spt="202" type="#_x0000_t202" style="position:absolute;left:0pt;margin-left:554.75pt;margin-top:2.2pt;height:20.2pt;width:172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-I-</w:t>
                </w:r>
                <w:r>
                  <w:rPr>
                    <w:sz w:val="18"/>
                    <w:szCs w:val="18"/>
                  </w:rPr>
                  <w:t>13</w:t>
                </w:r>
                <w:r>
                  <w:rPr>
                    <w:rFonts w:hint="eastAsia"/>
                    <w:sz w:val="18"/>
                    <w:szCs w:val="18"/>
                  </w:rPr>
                  <w:t>管理体系审核记录表(03版)</w:t>
                </w:r>
              </w:p>
            </w:txbxContent>
          </v:textbox>
        </v:shape>
      </w:pict>
    </w:r>
    <w:r>
      <w:rPr>
        <w:rStyle w:val="11"/>
        <w:rFonts w:hint="default"/>
        <w:w w:val="90"/>
      </w:rPr>
      <w:t>Beijing International Standard united Certification Co.,Ltd.</w:t>
    </w:r>
  </w:p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7787BBB"/>
    <w:rsid w:val="0FF0029C"/>
    <w:rsid w:val="160317E3"/>
    <w:rsid w:val="281218FB"/>
    <w:rsid w:val="2DC1562C"/>
    <w:rsid w:val="336F0EF1"/>
    <w:rsid w:val="3FB64DF7"/>
    <w:rsid w:val="47AB35EA"/>
    <w:rsid w:val="64A633DD"/>
    <w:rsid w:val="66AE0768"/>
    <w:rsid w:val="688F3F5A"/>
    <w:rsid w:val="68EC175B"/>
    <w:rsid w:val="6F3D2575"/>
    <w:rsid w:val="77E70519"/>
    <w:rsid w:val="78F601DF"/>
    <w:rsid w:val="7EAF1E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tabs>
        <w:tab w:val="left" w:pos="0"/>
        <w:tab w:val="left" w:pos="180"/>
      </w:tabs>
      <w:spacing w:line="360" w:lineRule="auto"/>
      <w:jc w:val="left"/>
    </w:pPr>
    <w:rPr>
      <w:sz w:val="28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86</Characters>
  <Lines>1</Lines>
  <Paragraphs>1</Paragraphs>
  <TotalTime>18</TotalTime>
  <ScaleCrop>false</ScaleCrop>
  <LinksUpToDate>false</LinksUpToDate>
  <CharactersWithSpaces>100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2015-06-17T12:51:00Z</dcterms:created>
  <dc:creator>微软用户</dc:creator>
  <cp:lastModifiedBy>LIL</cp:lastModifiedBy>
  <dcterms:modified xsi:type="dcterms:W3CDTF">2020-07-25T15:44:49Z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